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3" w:rsidRDefault="00831A33" w:rsidP="00831A33">
      <w:pPr>
        <w:pStyle w:val="Normal1"/>
        <w:tabs>
          <w:tab w:val="left" w:pos="3940"/>
        </w:tabs>
        <w:rPr>
          <w:rFonts w:ascii="Arial Narrow" w:eastAsia="Arial Narrow" w:hAnsi="Arial Narrow" w:cs="Arial Narrow"/>
          <w:sz w:val="16"/>
          <w:szCs w:val="16"/>
        </w:rPr>
      </w:pPr>
    </w:p>
    <w:p w:rsidR="00831A33" w:rsidRDefault="00831A33" w:rsidP="00831A33">
      <w:pPr>
        <w:pStyle w:val="Normal1"/>
        <w:tabs>
          <w:tab w:val="left" w:pos="3940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PLANO DE ENSINO – SEMESTRE</w:t>
      </w:r>
      <w:r>
        <w:rPr>
          <w:b/>
          <w:sz w:val="28"/>
          <w:szCs w:val="28"/>
        </w:rPr>
        <w:t xml:space="preserve">: </w:t>
      </w:r>
      <w:r w:rsidRPr="00831A33">
        <w:rPr>
          <w:b/>
          <w:color w:val="FF0000"/>
          <w:sz w:val="28"/>
          <w:szCs w:val="28"/>
          <w:u w:val="single"/>
        </w:rPr>
        <w:t>2018/01</w:t>
      </w:r>
    </w:p>
    <w:p w:rsidR="00831A33" w:rsidRDefault="00831A33" w:rsidP="00831A33">
      <w:pPr>
        <w:pStyle w:val="Normal1"/>
        <w:jc w:val="both"/>
      </w:pPr>
    </w:p>
    <w:p w:rsidR="00831A33" w:rsidRDefault="00831A33" w:rsidP="00831A33">
      <w:pPr>
        <w:pStyle w:val="Normal1"/>
      </w:pPr>
      <w:r w:rsidRPr="006525C1">
        <w:rPr>
          <w:b/>
          <w:bCs/>
        </w:rPr>
        <w:t xml:space="preserve">CÓDIGO DA DISCIPLINA: </w:t>
      </w:r>
      <w:r w:rsidRPr="006525C1">
        <w:t>LLV</w:t>
      </w:r>
      <w:r>
        <w:t>XXX</w:t>
      </w:r>
      <w:r w:rsidRPr="006525C1">
        <w:br/>
      </w:r>
      <w:r w:rsidRPr="006525C1">
        <w:rPr>
          <w:b/>
          <w:bCs/>
        </w:rPr>
        <w:t xml:space="preserve">NOME DA DISCIPLINA: </w:t>
      </w:r>
      <w:r w:rsidRPr="006525C1">
        <w:br/>
      </w:r>
      <w:r>
        <w:rPr>
          <w:b/>
        </w:rPr>
        <w:t xml:space="preserve">TURMA: </w:t>
      </w:r>
    </w:p>
    <w:p w:rsidR="00831A33" w:rsidRDefault="00831A33" w:rsidP="00831A33">
      <w:pPr>
        <w:pStyle w:val="Normal1"/>
        <w:jc w:val="both"/>
        <w:rPr>
          <w:b/>
        </w:rPr>
      </w:pPr>
      <w:r>
        <w:rPr>
          <w:b/>
        </w:rPr>
        <w:t xml:space="preserve">HORAS/AULA: </w:t>
      </w:r>
    </w:p>
    <w:p w:rsidR="00AC1B9C" w:rsidRPr="00AC1B9C" w:rsidRDefault="00AC1B9C" w:rsidP="00831A33">
      <w:pPr>
        <w:pStyle w:val="Normal1"/>
        <w:jc w:val="both"/>
        <w:rPr>
          <w:b/>
          <w:color w:val="FF0000"/>
        </w:rPr>
      </w:pPr>
      <w:r w:rsidRPr="00AC1B9C">
        <w:rPr>
          <w:b/>
          <w:color w:val="FF0000"/>
        </w:rPr>
        <w:t xml:space="preserve">PRÁTICA COMO COMPONENTE CURRICULAR: </w:t>
      </w:r>
      <w:r>
        <w:rPr>
          <w:b/>
          <w:color w:val="FF0000"/>
        </w:rPr>
        <w:t>(quando for o caso)</w:t>
      </w:r>
    </w:p>
    <w:p w:rsidR="00831A33" w:rsidRDefault="00831A33" w:rsidP="00831A33">
      <w:pPr>
        <w:pStyle w:val="Normal1"/>
        <w:pBdr>
          <w:bottom w:val="single" w:sz="12" w:space="1" w:color="000000"/>
        </w:pBdr>
        <w:jc w:val="both"/>
      </w:pPr>
      <w:r>
        <w:rPr>
          <w:b/>
        </w:rPr>
        <w:t xml:space="preserve">NOME DO PROFESSOR (A): </w:t>
      </w:r>
    </w:p>
    <w:p w:rsidR="00831A33" w:rsidRDefault="00831A33" w:rsidP="00831A33">
      <w:pPr>
        <w:pStyle w:val="Normal1"/>
        <w:pBdr>
          <w:bottom w:val="single" w:sz="12" w:space="1" w:color="000000"/>
        </w:pBdr>
        <w:jc w:val="both"/>
      </w:pPr>
      <w:r>
        <w:rPr>
          <w:b/>
        </w:rPr>
        <w:t xml:space="preserve">E-MAIL DO PROFESSOR (A): </w:t>
      </w:r>
    </w:p>
    <w:p w:rsidR="00831A33" w:rsidRDefault="00831A33" w:rsidP="00831A33">
      <w:pPr>
        <w:pStyle w:val="Normal1"/>
        <w:pBdr>
          <w:bottom w:val="single" w:sz="12" w:space="1" w:color="000000"/>
        </w:pBdr>
        <w:jc w:val="both"/>
      </w:pPr>
    </w:p>
    <w:p w:rsidR="00831A33" w:rsidRDefault="00831A33" w:rsidP="00831A33">
      <w:pPr>
        <w:pStyle w:val="Normal1"/>
        <w:jc w:val="both"/>
        <w:rPr>
          <w:b/>
          <w:u w:val="single"/>
        </w:rPr>
      </w:pPr>
    </w:p>
    <w:p w:rsidR="00831A33" w:rsidRDefault="00831A33" w:rsidP="00831A33">
      <w:pPr>
        <w:pStyle w:val="Normal1"/>
        <w:jc w:val="both"/>
        <w:rPr>
          <w:b/>
        </w:rPr>
      </w:pPr>
      <w:r>
        <w:rPr>
          <w:b/>
          <w:u w:val="single"/>
        </w:rPr>
        <w:t>EMENTA DA DISCIPLINA</w:t>
      </w:r>
      <w:r>
        <w:rPr>
          <w:b/>
        </w:rPr>
        <w:t xml:space="preserve"> </w:t>
      </w:r>
    </w:p>
    <w:p w:rsidR="00831A33" w:rsidRDefault="00831A33" w:rsidP="00831A33">
      <w:pPr>
        <w:pStyle w:val="Normal1"/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Estudo e produção de textos técnico-científicos relevantes para o desempenho das atividades acadêmicas, tais como: resumo, resenha, artigo e seminário.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  <w:rPr>
          <w:b/>
          <w:u w:val="single"/>
        </w:rPr>
      </w:pPr>
      <w:r>
        <w:rPr>
          <w:b/>
          <w:u w:val="single"/>
        </w:rPr>
        <w:t xml:space="preserve">OBJETIVOS </w:t>
      </w: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Ao final do semestre, espera-se que o aluno seja capaz de: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a) produzir resumos informativos;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b) produzir resenhas críticas e descritivas;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c) produzir artigos científicos;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d) produzir seminários.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  <w:rPr>
          <w:b/>
        </w:rPr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Default="00831A33" w:rsidP="00831A33">
      <w:pPr>
        <w:pStyle w:val="Normal1"/>
        <w:jc w:val="both"/>
        <w:rPr>
          <w:b/>
        </w:rPr>
      </w:pPr>
      <w:r>
        <w:rPr>
          <w:b/>
          <w:u w:val="single"/>
        </w:rPr>
        <w:t>CONTEÚDO PROGRAMÁTICO</w:t>
      </w:r>
      <w:r>
        <w:rPr>
          <w:b/>
        </w:rPr>
        <w:t xml:space="preserve"> </w:t>
      </w:r>
    </w:p>
    <w:p w:rsidR="00831A33" w:rsidRDefault="00831A33" w:rsidP="00831A33">
      <w:pPr>
        <w:pStyle w:val="Normal1"/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1</w:t>
      </w:r>
      <w:proofErr w:type="gramEnd"/>
      <w:r w:rsidRPr="00831A33">
        <w:rPr>
          <w:color w:val="FF0000"/>
        </w:rPr>
        <w:t xml:space="preserve"> Estratégias de produção de textos acadêmicos:</w:t>
      </w:r>
    </w:p>
    <w:p w:rsidR="00831A33" w:rsidRPr="00831A33" w:rsidRDefault="00831A33" w:rsidP="00AC1B9C">
      <w:pPr>
        <w:pStyle w:val="Normal1"/>
        <w:ind w:firstLine="708"/>
        <w:jc w:val="both"/>
        <w:rPr>
          <w:color w:val="FF0000"/>
        </w:rPr>
      </w:pPr>
      <w:proofErr w:type="gramStart"/>
      <w:r w:rsidRPr="00831A33">
        <w:rPr>
          <w:color w:val="FF0000"/>
        </w:rPr>
        <w:t>1.1 Citação</w:t>
      </w:r>
      <w:proofErr w:type="gramEnd"/>
      <w:r w:rsidRPr="00831A33">
        <w:rPr>
          <w:color w:val="FF0000"/>
        </w:rPr>
        <w:t xml:space="preserve"> formal: normas e produção de intertextos.</w:t>
      </w:r>
    </w:p>
    <w:p w:rsidR="00831A33" w:rsidRPr="00831A33" w:rsidRDefault="00831A33" w:rsidP="00AC1B9C">
      <w:pPr>
        <w:pStyle w:val="Normal1"/>
        <w:ind w:firstLine="708"/>
        <w:jc w:val="both"/>
        <w:rPr>
          <w:color w:val="FF0000"/>
        </w:rPr>
      </w:pPr>
      <w:proofErr w:type="gramStart"/>
      <w:r w:rsidRPr="00831A33">
        <w:rPr>
          <w:color w:val="FF0000"/>
        </w:rPr>
        <w:t>1.2 Paráfrase</w:t>
      </w:r>
      <w:proofErr w:type="gramEnd"/>
      <w:r w:rsidRPr="00831A33">
        <w:rPr>
          <w:color w:val="FF0000"/>
        </w:rPr>
        <w:t>: características, análise e produção.</w:t>
      </w:r>
    </w:p>
    <w:p w:rsidR="00831A33" w:rsidRPr="00831A33" w:rsidRDefault="00831A33" w:rsidP="00AC1B9C">
      <w:pPr>
        <w:pStyle w:val="Normal1"/>
        <w:ind w:firstLine="708"/>
        <w:jc w:val="both"/>
        <w:rPr>
          <w:color w:val="FF0000"/>
        </w:rPr>
      </w:pPr>
      <w:r w:rsidRPr="00831A33">
        <w:rPr>
          <w:color w:val="FF0000"/>
        </w:rPr>
        <w:t>1.3 Informação e documentação: elaboração de referências.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2</w:t>
      </w:r>
      <w:proofErr w:type="gramEnd"/>
      <w:r w:rsidRPr="00831A33">
        <w:rPr>
          <w:color w:val="FF0000"/>
        </w:rPr>
        <w:t xml:space="preserve"> Ficha de apontamentos: características, análise e produção.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3</w:t>
      </w:r>
      <w:proofErr w:type="gramEnd"/>
      <w:r w:rsidRPr="00831A33">
        <w:rPr>
          <w:color w:val="FF0000"/>
        </w:rPr>
        <w:t xml:space="preserve"> Resumo: características, análise e produção.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4</w:t>
      </w:r>
      <w:proofErr w:type="gramEnd"/>
      <w:r w:rsidRPr="00831A33">
        <w:rPr>
          <w:color w:val="FF0000"/>
        </w:rPr>
        <w:t xml:space="preserve"> Resenha: características, análise e produção.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5</w:t>
      </w:r>
      <w:proofErr w:type="gramEnd"/>
      <w:r w:rsidRPr="00831A33">
        <w:rPr>
          <w:color w:val="FF0000"/>
        </w:rPr>
        <w:t xml:space="preserve"> Artigo científico: características, análise e produção.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6</w:t>
      </w:r>
      <w:proofErr w:type="gramEnd"/>
      <w:r w:rsidRPr="00831A33">
        <w:rPr>
          <w:color w:val="FF0000"/>
        </w:rPr>
        <w:t xml:space="preserve"> Seminário: características e produção. 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  <w:rPr>
          <w:b/>
        </w:rPr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Default="00831A33" w:rsidP="00831A33">
      <w:pPr>
        <w:pStyle w:val="Normal1"/>
        <w:jc w:val="both"/>
        <w:rPr>
          <w:b/>
          <w:u w:val="single"/>
        </w:rPr>
      </w:pPr>
      <w:r>
        <w:rPr>
          <w:b/>
          <w:u w:val="single"/>
        </w:rPr>
        <w:t>METODOLOGIA</w:t>
      </w:r>
    </w:p>
    <w:p w:rsidR="00831A33" w:rsidRDefault="00831A33" w:rsidP="00831A33">
      <w:pPr>
        <w:pStyle w:val="Normal1"/>
        <w:jc w:val="both"/>
      </w:pPr>
    </w:p>
    <w:p w:rsidR="00831A33" w:rsidRDefault="00831A33" w:rsidP="00831A33">
      <w:pPr>
        <w:pStyle w:val="Normal1"/>
        <w:jc w:val="both"/>
      </w:pPr>
      <w:r w:rsidRPr="00831A33">
        <w:rPr>
          <w:color w:val="FF0000"/>
        </w:rPr>
        <w:t>Leituras orientadas. Pesquisa dirigida. Produção orientada de textos acadêmicos.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  <w:rPr>
          <w:b/>
        </w:rPr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Default="00831A33" w:rsidP="00831A33">
      <w:pPr>
        <w:pStyle w:val="Normal1"/>
        <w:jc w:val="both"/>
        <w:rPr>
          <w:b/>
        </w:rPr>
      </w:pPr>
      <w:r>
        <w:rPr>
          <w:b/>
          <w:u w:val="single"/>
        </w:rPr>
        <w:t>AVALIAÇÃO</w:t>
      </w:r>
      <w:r>
        <w:rPr>
          <w:b/>
        </w:rPr>
        <w:t xml:space="preserve"> </w:t>
      </w:r>
    </w:p>
    <w:p w:rsidR="00831A33" w:rsidRDefault="00831A33" w:rsidP="00831A33">
      <w:pPr>
        <w:pStyle w:val="Normal1"/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lastRenderedPageBreak/>
        <w:t>Serão avaliadas três produções textuais acadêmicas, a saber: resenha (</w:t>
      </w:r>
      <w:proofErr w:type="gramStart"/>
      <w:r w:rsidRPr="00831A33">
        <w:rPr>
          <w:color w:val="FF0000"/>
        </w:rPr>
        <w:t>3</w:t>
      </w:r>
      <w:proofErr w:type="gramEnd"/>
      <w:r w:rsidRPr="00831A33">
        <w:rPr>
          <w:color w:val="FF0000"/>
        </w:rPr>
        <w:t xml:space="preserve"> pontos); artigo (4 pontos); seminário (3 pontos). 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Trabalhos entregues com atraso terão um desconto de 0.5 e serão avaliados somente ao final do semestre.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Atividade recuperatória: reescrita da produção cuja nota tenha sido a mais baixa. Não serão aceitos trabalhos de cunho recuperatório com atraso.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</w:pPr>
    </w:p>
    <w:p w:rsidR="00831A33" w:rsidRDefault="00831A33" w:rsidP="00831A33">
      <w:pPr>
        <w:pStyle w:val="Normal1"/>
        <w:jc w:val="both"/>
        <w:rPr>
          <w:u w:val="single"/>
        </w:rPr>
      </w:pPr>
    </w:p>
    <w:p w:rsidR="00831A33" w:rsidRDefault="00831A33" w:rsidP="00831A33">
      <w:pPr>
        <w:pStyle w:val="Normal1"/>
        <w:jc w:val="both"/>
      </w:pPr>
      <w:r>
        <w:rPr>
          <w:b/>
          <w:u w:val="single"/>
        </w:rPr>
        <w:t>CRONOGRAMA</w:t>
      </w:r>
    </w:p>
    <w:p w:rsidR="00831A33" w:rsidRDefault="00831A33" w:rsidP="00831A33">
      <w:pPr>
        <w:pStyle w:val="Normal1"/>
        <w:jc w:val="both"/>
      </w:pPr>
    </w:p>
    <w:tbl>
      <w:tblPr>
        <w:tblW w:w="89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7861"/>
      </w:tblGrid>
      <w:tr w:rsidR="00831A33" w:rsidTr="00831A33">
        <w:tc>
          <w:tcPr>
            <w:tcW w:w="1067" w:type="dxa"/>
          </w:tcPr>
          <w:p w:rsidR="00831A33" w:rsidRPr="00831A33" w:rsidRDefault="00AC1B9C" w:rsidP="00831A33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AULA</w:t>
            </w:r>
          </w:p>
        </w:tc>
        <w:tc>
          <w:tcPr>
            <w:tcW w:w="7861" w:type="dxa"/>
          </w:tcPr>
          <w:p w:rsidR="00831A33" w:rsidRPr="00831A33" w:rsidRDefault="00AC1B9C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CONTEÚDO/OBJETIVO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28/02 – Apresentação da disciplina. Discussão do Plano de Ensino.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02/03 – Resumo e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07/03 – Resumo e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09/03 – Resumo e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14/03 – Produção orientada da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16/03 – Produção orientada da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21/03 – Produção orientada da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28/03 – Produção orientada da resenha.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831A33">
              <w:rPr>
                <w:color w:val="FF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04/04 – Entrega da resenha. Artigo científico. Fontes de informação.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r w:rsidRPr="00831A3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06/04 –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11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11/04 –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12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 xml:space="preserve">13/04 – Produção orientada do artigo científico. 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13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 xml:space="preserve">18/04 – Produção orientada do artigo científico. 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14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20/04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15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25/04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16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27/04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17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02/05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18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04/05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19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highlight w:val="lightGray"/>
              </w:rPr>
            </w:pPr>
            <w:r w:rsidRPr="00831A33">
              <w:rPr>
                <w:color w:val="FF0000"/>
              </w:rPr>
              <w:t>09/05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20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11/05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21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highlight w:val="lightGray"/>
              </w:rPr>
            </w:pPr>
            <w:r w:rsidRPr="00831A33">
              <w:rPr>
                <w:color w:val="FF0000"/>
              </w:rPr>
              <w:t>16/05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22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18/05 – Produção orientada do artigo científico.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23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highlight w:val="lightGray"/>
              </w:rPr>
            </w:pPr>
            <w:r w:rsidRPr="00831A33">
              <w:rPr>
                <w:color w:val="FF0000"/>
              </w:rPr>
              <w:t xml:space="preserve">23/05 – Entrega do artigo científico. Seminário. 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24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25/05 – Produção orientada do seminário.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25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r w:rsidRPr="00831A33">
              <w:rPr>
                <w:color w:val="FF0000"/>
              </w:rPr>
              <w:t xml:space="preserve">30/05 – </w:t>
            </w:r>
            <w:r w:rsidRPr="00831A33">
              <w:rPr>
                <w:color w:val="FF0000"/>
                <w:sz w:val="22"/>
                <w:szCs w:val="22"/>
              </w:rPr>
              <w:t xml:space="preserve">Seminário. </w:t>
            </w:r>
          </w:p>
        </w:tc>
      </w:tr>
      <w:tr w:rsidR="00831A33" w:rsidTr="00831A33">
        <w:trPr>
          <w:trHeight w:val="300"/>
        </w:trPr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sz w:val="22"/>
                <w:szCs w:val="22"/>
              </w:rPr>
            </w:pPr>
            <w:r w:rsidRPr="00831A33">
              <w:rPr>
                <w:color w:val="FF0000"/>
                <w:sz w:val="22"/>
                <w:szCs w:val="22"/>
              </w:rPr>
              <w:t>26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 xml:space="preserve">06/06 – </w:t>
            </w:r>
            <w:r w:rsidRPr="00831A33">
              <w:rPr>
                <w:color w:val="FF0000"/>
                <w:sz w:val="22"/>
                <w:szCs w:val="22"/>
              </w:rPr>
              <w:t>Seminário.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27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 xml:space="preserve">08/06 – </w:t>
            </w:r>
            <w:r w:rsidRPr="00831A33">
              <w:rPr>
                <w:color w:val="FF0000"/>
                <w:sz w:val="22"/>
                <w:szCs w:val="22"/>
              </w:rPr>
              <w:t>Seminário.</w:t>
            </w:r>
            <w:r w:rsidRPr="00831A33">
              <w:rPr>
                <w:color w:val="FF0000"/>
              </w:rPr>
              <w:t xml:space="preserve"> 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28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highlight w:val="lightGray"/>
              </w:rPr>
            </w:pPr>
            <w:r w:rsidRPr="00831A33">
              <w:rPr>
                <w:color w:val="FF0000"/>
              </w:rPr>
              <w:t>13/06 - Resultados parciais: e</w:t>
            </w:r>
            <w:r w:rsidRPr="00831A33">
              <w:rPr>
                <w:color w:val="FF0000"/>
                <w:sz w:val="22"/>
                <w:szCs w:val="22"/>
              </w:rPr>
              <w:t>ntrega de notas; revisões; direcionamentos finais; orientações para a reescrita.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29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 xml:space="preserve">15/06 – </w:t>
            </w:r>
            <w:r w:rsidRPr="00831A33">
              <w:rPr>
                <w:color w:val="FF0000"/>
                <w:sz w:val="22"/>
                <w:szCs w:val="22"/>
              </w:rPr>
              <w:t xml:space="preserve">Reescrita. </w:t>
            </w:r>
          </w:p>
        </w:tc>
      </w:tr>
      <w:tr w:rsidR="00831A33" w:rsidTr="00831A33">
        <w:tc>
          <w:tcPr>
            <w:tcW w:w="1067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</w:rPr>
            </w:pPr>
            <w:r w:rsidRPr="00831A33">
              <w:rPr>
                <w:color w:val="FF0000"/>
              </w:rPr>
              <w:t>30</w:t>
            </w:r>
          </w:p>
        </w:tc>
        <w:tc>
          <w:tcPr>
            <w:tcW w:w="7861" w:type="dxa"/>
          </w:tcPr>
          <w:p w:rsidR="00831A33" w:rsidRPr="00831A33" w:rsidRDefault="00831A33" w:rsidP="00B86724">
            <w:pPr>
              <w:pStyle w:val="Normal1"/>
              <w:jc w:val="both"/>
              <w:rPr>
                <w:color w:val="FF0000"/>
                <w:highlight w:val="lightGray"/>
              </w:rPr>
            </w:pPr>
            <w:r w:rsidRPr="00831A33">
              <w:rPr>
                <w:color w:val="FF0000"/>
              </w:rPr>
              <w:t xml:space="preserve">20/06 – </w:t>
            </w:r>
            <w:r w:rsidRPr="00831A33">
              <w:rPr>
                <w:color w:val="FF0000"/>
                <w:sz w:val="22"/>
                <w:szCs w:val="22"/>
              </w:rPr>
              <w:t>Fechamento da disciplina. Revisão dos resultados finais.</w:t>
            </w:r>
          </w:p>
        </w:tc>
      </w:tr>
    </w:tbl>
    <w:p w:rsidR="00831A33" w:rsidRDefault="00831A33" w:rsidP="00831A33">
      <w:pPr>
        <w:pStyle w:val="Normal1"/>
        <w:pBdr>
          <w:bottom w:val="single" w:sz="12" w:space="1" w:color="auto"/>
        </w:pBdr>
        <w:jc w:val="both"/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  <w:rPr>
          <w:b/>
          <w:u w:val="single"/>
        </w:rPr>
      </w:pPr>
      <w:r>
        <w:rPr>
          <w:b/>
          <w:u w:val="single"/>
        </w:rPr>
        <w:t>HORÁRIO DE ATENDIMENTO EXTRACLASSE</w:t>
      </w: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lastRenderedPageBreak/>
        <w:t>Quartas-feiras: das 18h às 19h (sala 2107).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 xml:space="preserve">E-mail para contato: </w:t>
      </w:r>
    </w:p>
    <w:p w:rsidR="00831A33" w:rsidRDefault="00831A33" w:rsidP="00831A33">
      <w:pPr>
        <w:pStyle w:val="Normal1"/>
        <w:pBdr>
          <w:bottom w:val="single" w:sz="12" w:space="1" w:color="auto"/>
        </w:pBdr>
        <w:jc w:val="both"/>
        <w:rPr>
          <w:b/>
        </w:rPr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  <w:rPr>
          <w:b/>
        </w:rPr>
      </w:pPr>
    </w:p>
    <w:p w:rsidR="00831A33" w:rsidRDefault="00831A33" w:rsidP="00831A33">
      <w:pPr>
        <w:pStyle w:val="Normal1"/>
        <w:pBdr>
          <w:top w:val="none" w:sz="0" w:space="0" w:color="auto"/>
        </w:pBdr>
        <w:jc w:val="both"/>
        <w:rPr>
          <w:b/>
          <w:u w:val="single"/>
        </w:rPr>
      </w:pPr>
      <w:r>
        <w:rPr>
          <w:b/>
          <w:u w:val="single"/>
        </w:rPr>
        <w:t>BIBLIOGRAFIA</w:t>
      </w:r>
      <w:r w:rsidR="00AC1B9C">
        <w:rPr>
          <w:b/>
          <w:u w:val="single"/>
        </w:rPr>
        <w:t xml:space="preserve"> BÁSICA</w:t>
      </w:r>
    </w:p>
    <w:p w:rsidR="00831A33" w:rsidRDefault="00831A33" w:rsidP="00831A33">
      <w:pPr>
        <w:pStyle w:val="Normal1"/>
        <w:pBdr>
          <w:top w:val="none" w:sz="0" w:space="0" w:color="auto"/>
        </w:pBdr>
        <w:jc w:val="both"/>
      </w:pP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 xml:space="preserve">ABREU, A.S. </w:t>
      </w:r>
      <w:r w:rsidRPr="00831A33">
        <w:rPr>
          <w:b/>
          <w:color w:val="FF0000"/>
        </w:rPr>
        <w:t>Curso de Redação</w:t>
      </w:r>
      <w:r w:rsidRPr="00831A33">
        <w:rPr>
          <w:color w:val="FF0000"/>
        </w:rPr>
        <w:t xml:space="preserve">. 6. </w:t>
      </w:r>
      <w:proofErr w:type="gramStart"/>
      <w:r w:rsidRPr="00831A33">
        <w:rPr>
          <w:color w:val="FF0000"/>
        </w:rPr>
        <w:t>ed.</w:t>
      </w:r>
      <w:proofErr w:type="gramEnd"/>
      <w:r w:rsidRPr="00831A33">
        <w:rPr>
          <w:color w:val="FF0000"/>
        </w:rPr>
        <w:t xml:space="preserve"> São Paulo, 1997.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  <w:lang w:val="en-US"/>
        </w:rPr>
        <w:t xml:space="preserve">ANDERY, M.A.P.A. et al. </w:t>
      </w:r>
      <w:r w:rsidRPr="00831A33">
        <w:rPr>
          <w:b/>
          <w:color w:val="FF0000"/>
        </w:rPr>
        <w:t>Para compreender a ciência:</w:t>
      </w:r>
      <w:r w:rsidRPr="00831A33">
        <w:rPr>
          <w:color w:val="FF0000"/>
        </w:rPr>
        <w:t xml:space="preserve"> uma perspectiva histórica. </w:t>
      </w:r>
      <w:proofErr w:type="gramStart"/>
      <w:r w:rsidRPr="00831A33">
        <w:rPr>
          <w:color w:val="FF0000"/>
        </w:rPr>
        <w:t>6</w:t>
      </w:r>
      <w:proofErr w:type="gramEnd"/>
      <w:r w:rsidRPr="00831A33">
        <w:rPr>
          <w:color w:val="FF0000"/>
        </w:rPr>
        <w:t xml:space="preserve"> ed.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proofErr w:type="gramStart"/>
      <w:r w:rsidRPr="00831A33">
        <w:rPr>
          <w:color w:val="FF0000"/>
        </w:rPr>
        <w:t>rev.</w:t>
      </w:r>
      <w:proofErr w:type="gramEnd"/>
      <w:r w:rsidRPr="00831A33">
        <w:rPr>
          <w:color w:val="FF0000"/>
        </w:rPr>
        <w:t xml:space="preserve"> e </w:t>
      </w:r>
      <w:proofErr w:type="spellStart"/>
      <w:r w:rsidRPr="00831A33">
        <w:rPr>
          <w:color w:val="FF0000"/>
        </w:rPr>
        <w:t>amp</w:t>
      </w:r>
      <w:proofErr w:type="spellEnd"/>
      <w:r w:rsidRPr="00831A33">
        <w:rPr>
          <w:color w:val="FF0000"/>
        </w:rPr>
        <w:t xml:space="preserve">. Rio de Janeiro: Espaço e Tempo; São Paulo: </w:t>
      </w:r>
      <w:proofErr w:type="spellStart"/>
      <w:r w:rsidRPr="00831A33">
        <w:rPr>
          <w:color w:val="FF0000"/>
        </w:rPr>
        <w:t>Educ</w:t>
      </w:r>
      <w:proofErr w:type="spellEnd"/>
      <w:r w:rsidRPr="00831A33">
        <w:rPr>
          <w:color w:val="FF0000"/>
        </w:rPr>
        <w:t>, 1996.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 xml:space="preserve">ANDRADE, M.M. de. </w:t>
      </w:r>
      <w:r w:rsidRPr="00831A33">
        <w:rPr>
          <w:b/>
          <w:color w:val="FF0000"/>
        </w:rPr>
        <w:t>Introdução à metodologia do trabalho científico.</w:t>
      </w:r>
      <w:r w:rsidRPr="00831A33">
        <w:rPr>
          <w:color w:val="FF0000"/>
        </w:rPr>
        <w:t xml:space="preserve"> São Paulo: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Atlas, 1993.</w:t>
      </w:r>
    </w:p>
    <w:p w:rsidR="00831A33" w:rsidRPr="00831A33" w:rsidRDefault="00831A33" w:rsidP="00831A33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 xml:space="preserve">ARAÚJO, A.D. Análise de gênero: uma abordagem alternativa para o ensino da redação acadêmica. </w:t>
      </w:r>
      <w:r w:rsidRPr="00831A33">
        <w:rPr>
          <w:color w:val="FF0000"/>
          <w:lang w:val="en-US"/>
        </w:rPr>
        <w:t xml:space="preserve">In: FORTKAMP, M.B.M.; TOMITCH, L.M.B. (Org.). </w:t>
      </w:r>
      <w:r w:rsidRPr="00831A33">
        <w:rPr>
          <w:b/>
          <w:color w:val="FF0000"/>
        </w:rPr>
        <w:t xml:space="preserve">Aspectos da </w:t>
      </w:r>
      <w:proofErr w:type="spellStart"/>
      <w:r w:rsidRPr="00831A33">
        <w:rPr>
          <w:b/>
          <w:color w:val="FF0000"/>
        </w:rPr>
        <w:t>Lingüística</w:t>
      </w:r>
      <w:proofErr w:type="spellEnd"/>
      <w:r w:rsidRPr="00831A33">
        <w:rPr>
          <w:b/>
          <w:color w:val="FF0000"/>
        </w:rPr>
        <w:t xml:space="preserve"> Aplicada:</w:t>
      </w:r>
      <w:r w:rsidRPr="00831A33">
        <w:rPr>
          <w:color w:val="FF0000"/>
        </w:rPr>
        <w:t xml:space="preserve"> estudos em homenagem ao Professor Hilário Inácio </w:t>
      </w:r>
      <w:proofErr w:type="spellStart"/>
      <w:r w:rsidRPr="00831A33">
        <w:rPr>
          <w:color w:val="FF0000"/>
        </w:rPr>
        <w:t>Bohn</w:t>
      </w:r>
      <w:proofErr w:type="spellEnd"/>
      <w:r w:rsidRPr="00831A33">
        <w:rPr>
          <w:color w:val="FF0000"/>
        </w:rPr>
        <w:t xml:space="preserve">. Florianópolis: Insular, 2000. </w:t>
      </w:r>
      <w:proofErr w:type="gramStart"/>
      <w:r w:rsidRPr="00831A33">
        <w:rPr>
          <w:color w:val="FF0000"/>
        </w:rPr>
        <w:t>p.</w:t>
      </w:r>
      <w:proofErr w:type="gramEnd"/>
      <w:r w:rsidRPr="00831A33">
        <w:rPr>
          <w:color w:val="FF0000"/>
        </w:rPr>
        <w:t xml:space="preserve"> 185-200.</w:t>
      </w:r>
    </w:p>
    <w:p w:rsidR="00C72DA1" w:rsidRDefault="00C72DA1"/>
    <w:p w:rsidR="00AC1B9C" w:rsidRDefault="00AC1B9C">
      <w:pPr>
        <w:rPr>
          <w:b/>
          <w:u w:val="single"/>
        </w:rPr>
      </w:pPr>
      <w:r>
        <w:rPr>
          <w:b/>
          <w:u w:val="single"/>
        </w:rPr>
        <w:t>BIBLIOGRAFIA COMPLEMENTAR</w:t>
      </w:r>
    </w:p>
    <w:p w:rsidR="00AC1B9C" w:rsidRDefault="00AC1B9C">
      <w:pPr>
        <w:rPr>
          <w:b/>
          <w:u w:val="single"/>
        </w:rPr>
      </w:pP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ASSOCIAÇÃO BRASILEIRA DE NORMAS TÉCNICAS. NBR 6027: sumário. Rio de Janeiro,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1987. (reimpressa em 1989).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6024: numeração progressiva das seções de um documento. Rio de Janeiro,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1989. (reimpressa em 1989).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6024: numeração progressiva das seções de um documento. Rio de Janeiro,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1989.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10719: apresentação de relatórios técnico-científicos. Rio de Janeiro, 1989.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6028: resumos. Rio de Janeiro, 1990.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6022: apresentação de artigos em publicações periódicas. Rio de Janeiro,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1994.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6023: informação e documentação - referências - elaboração. Rio de Janeiro,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2000.</w:t>
      </w:r>
    </w:p>
    <w:p w:rsidR="00AC1B9C" w:rsidRPr="00831A33" w:rsidRDefault="00AC1B9C" w:rsidP="00AC1B9C">
      <w:pPr>
        <w:pStyle w:val="Normal1"/>
        <w:jc w:val="both"/>
        <w:rPr>
          <w:color w:val="FF0000"/>
        </w:rPr>
      </w:pPr>
      <w:r w:rsidRPr="00831A33">
        <w:rPr>
          <w:color w:val="FF0000"/>
        </w:rPr>
        <w:t>_______. NBR 10520: apresentação de citações em documentos. Rio de Janeiro, 2001.</w:t>
      </w:r>
    </w:p>
    <w:p w:rsidR="00AC1B9C" w:rsidRPr="00AC1B9C" w:rsidRDefault="00AC1B9C">
      <w:pPr>
        <w:rPr>
          <w:b/>
          <w:u w:val="single"/>
        </w:rPr>
      </w:pPr>
      <w:bookmarkStart w:id="0" w:name="_GoBack"/>
      <w:bookmarkEnd w:id="0"/>
    </w:p>
    <w:sectPr w:rsidR="00AC1B9C" w:rsidRPr="00AC1B9C" w:rsidSect="00831A33">
      <w:headerReference w:type="default" r:id="rId7"/>
      <w:footerReference w:type="default" r:id="rId8"/>
      <w:pgSz w:w="11906" w:h="16838"/>
      <w:pgMar w:top="6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D8" w:rsidRDefault="001125D8" w:rsidP="00831A33">
      <w:r>
        <w:separator/>
      </w:r>
    </w:p>
  </w:endnote>
  <w:endnote w:type="continuationSeparator" w:id="0">
    <w:p w:rsidR="001125D8" w:rsidRDefault="001125D8" w:rsidP="008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33" w:rsidRDefault="00831A33" w:rsidP="00831A33">
    <w:pPr>
      <w:pStyle w:val="Normal1"/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b/>
        <w:sz w:val="21"/>
        <w:szCs w:val="21"/>
      </w:rPr>
      <w:t>Campus Universitário – Trindade - Florianópolis</w:t>
    </w:r>
  </w:p>
  <w:p w:rsidR="00831A33" w:rsidRPr="00831A33" w:rsidRDefault="00831A33" w:rsidP="00831A33">
    <w:pPr>
      <w:pStyle w:val="Normal1"/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b/>
        <w:sz w:val="21"/>
        <w:szCs w:val="21"/>
      </w:rPr>
      <w:t xml:space="preserve">Fone: 3721-3751     </w:t>
    </w:r>
    <w:proofErr w:type="gramStart"/>
    <w:r>
      <w:rPr>
        <w:rFonts w:ascii="Verdana" w:eastAsia="Verdana" w:hAnsi="Verdana" w:cs="Verdana"/>
        <w:b/>
        <w:sz w:val="21"/>
        <w:szCs w:val="21"/>
      </w:rPr>
      <w:t>E-mail:</w:t>
    </w:r>
    <w:proofErr w:type="gramEnd"/>
    <w:r>
      <w:rPr>
        <w:rFonts w:ascii="Verdana" w:eastAsia="Verdana" w:hAnsi="Verdana" w:cs="Verdana"/>
        <w:b/>
        <w:sz w:val="21"/>
        <w:szCs w:val="21"/>
      </w:rPr>
      <w:t>llv@contato.ufsc.br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D8" w:rsidRDefault="001125D8" w:rsidP="00831A33">
      <w:r>
        <w:separator/>
      </w:r>
    </w:p>
  </w:footnote>
  <w:footnote w:type="continuationSeparator" w:id="0">
    <w:p w:rsidR="001125D8" w:rsidRDefault="001125D8" w:rsidP="0083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33" w:rsidRDefault="00831A33" w:rsidP="00831A33">
    <w:pPr>
      <w:pStyle w:val="Normal1"/>
      <w:spacing w:line="360" w:lineRule="auto"/>
      <w:jc w:val="center"/>
      <w:rPr>
        <w:rFonts w:ascii="Verdana" w:eastAsia="Verdana" w:hAnsi="Verdana" w:cs="Verdana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AF714" wp14:editId="1A55A09F">
          <wp:simplePos x="0" y="0"/>
          <wp:positionH relativeFrom="margin">
            <wp:posOffset>5172075</wp:posOffset>
          </wp:positionH>
          <wp:positionV relativeFrom="paragraph">
            <wp:posOffset>-121920</wp:posOffset>
          </wp:positionV>
          <wp:extent cx="1028700" cy="6858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FFABE2" wp14:editId="2871D8D1">
          <wp:simplePos x="0" y="0"/>
          <wp:positionH relativeFrom="margin">
            <wp:posOffset>-942340</wp:posOffset>
          </wp:positionH>
          <wp:positionV relativeFrom="paragraph">
            <wp:posOffset>-236220</wp:posOffset>
          </wp:positionV>
          <wp:extent cx="947420" cy="922655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smallCaps/>
        <w:sz w:val="21"/>
        <w:szCs w:val="21"/>
      </w:rPr>
      <w:t>UNIVERSIDADE FEDERAL DE SANTA CATARINA</w:t>
    </w:r>
  </w:p>
  <w:p w:rsidR="00831A33" w:rsidRDefault="00831A33" w:rsidP="00831A33">
    <w:pPr>
      <w:pStyle w:val="Normal1"/>
      <w:spacing w:line="360" w:lineRule="auto"/>
      <w:jc w:val="center"/>
      <w:rPr>
        <w:rFonts w:ascii="Verdana" w:eastAsia="Verdana" w:hAnsi="Verdana" w:cs="Verdana"/>
        <w:b/>
        <w:smallCaps/>
        <w:sz w:val="21"/>
        <w:szCs w:val="21"/>
      </w:rPr>
    </w:pPr>
    <w:r>
      <w:rPr>
        <w:rFonts w:ascii="Verdana" w:eastAsia="Verdana" w:hAnsi="Verdana" w:cs="Verdana"/>
        <w:b/>
        <w:smallCaps/>
        <w:sz w:val="21"/>
        <w:szCs w:val="21"/>
      </w:rPr>
      <w:t>CENTRO DE COMUNICAÇÃO E EXPRESSÃO</w:t>
    </w:r>
  </w:p>
  <w:p w:rsidR="00831A33" w:rsidRDefault="00831A33" w:rsidP="00831A33">
    <w:pPr>
      <w:pStyle w:val="Normal1"/>
      <w:spacing w:line="360" w:lineRule="auto"/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b/>
        <w:smallCaps/>
        <w:sz w:val="21"/>
        <w:szCs w:val="21"/>
      </w:rPr>
      <w:t>DEPARTAMENTO DE LÍNGUA E LITERATURA VERNÁCULAS</w:t>
    </w:r>
  </w:p>
  <w:p w:rsidR="00831A33" w:rsidRDefault="00831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3"/>
    <w:rsid w:val="001125D8"/>
    <w:rsid w:val="00831A33"/>
    <w:rsid w:val="00AC1B9C"/>
    <w:rsid w:val="00C72DA1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A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A33"/>
  </w:style>
  <w:style w:type="paragraph" w:styleId="Rodap">
    <w:name w:val="footer"/>
    <w:basedOn w:val="Normal"/>
    <w:link w:val="RodapChar"/>
    <w:uiPriority w:val="99"/>
    <w:unhideWhenUsed/>
    <w:rsid w:val="00831A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1A33"/>
  </w:style>
  <w:style w:type="paragraph" w:customStyle="1" w:styleId="Normal1">
    <w:name w:val="Normal1"/>
    <w:rsid w:val="00831A3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A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A33"/>
  </w:style>
  <w:style w:type="paragraph" w:styleId="Rodap">
    <w:name w:val="footer"/>
    <w:basedOn w:val="Normal"/>
    <w:link w:val="RodapChar"/>
    <w:uiPriority w:val="99"/>
    <w:unhideWhenUsed/>
    <w:rsid w:val="00831A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1A33"/>
  </w:style>
  <w:style w:type="paragraph" w:customStyle="1" w:styleId="Normal1">
    <w:name w:val="Normal1"/>
    <w:rsid w:val="00831A3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 MARCHI</dc:creator>
  <cp:lastModifiedBy>JULIA DE MARCHI</cp:lastModifiedBy>
  <cp:revision>2</cp:revision>
  <dcterms:created xsi:type="dcterms:W3CDTF">2018-07-17T18:15:00Z</dcterms:created>
  <dcterms:modified xsi:type="dcterms:W3CDTF">2018-07-17T18:26:00Z</dcterms:modified>
</cp:coreProperties>
</file>